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B4" w:rsidRPr="004248DE" w:rsidRDefault="001C41B4" w:rsidP="001C41B4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EAF57A9" wp14:editId="37C2DC9D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B4" w:rsidRPr="005250F2" w:rsidRDefault="001C41B4" w:rsidP="001C41B4">
      <w:pPr>
        <w:tabs>
          <w:tab w:val="left" w:pos="4395"/>
        </w:tabs>
        <w:ind w:right="-1"/>
        <w:rPr>
          <w:sz w:val="28"/>
          <w:szCs w:val="28"/>
        </w:rPr>
      </w:pPr>
    </w:p>
    <w:p w:rsidR="001C41B4" w:rsidRDefault="001C41B4" w:rsidP="001C41B4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1C41B4" w:rsidRPr="00C65838" w:rsidRDefault="001C41B4" w:rsidP="001C41B4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1C41B4" w:rsidRDefault="001C41B4" w:rsidP="001C41B4">
      <w:pPr>
        <w:tabs>
          <w:tab w:val="left" w:pos="4395"/>
        </w:tabs>
        <w:ind w:right="-1"/>
        <w:jc w:val="center"/>
      </w:pPr>
    </w:p>
    <w:p w:rsidR="001C41B4" w:rsidRDefault="001C41B4" w:rsidP="001C41B4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:rsidR="001C41B4" w:rsidRDefault="001C41B4" w:rsidP="001C41B4">
      <w:pPr>
        <w:tabs>
          <w:tab w:val="left" w:pos="4395"/>
        </w:tabs>
        <w:ind w:right="-1"/>
        <w:jc w:val="center"/>
      </w:pPr>
    </w:p>
    <w:p w:rsidR="001C41B4" w:rsidRDefault="001C41B4" w:rsidP="001C41B4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1C41B4" w:rsidRPr="00C65838" w:rsidRDefault="001C41B4" w:rsidP="001C41B4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:rsidR="001C41B4" w:rsidRDefault="001C41B4" w:rsidP="001C41B4">
      <w:pPr>
        <w:rPr>
          <w:b/>
          <w:bCs/>
          <w:sz w:val="28"/>
          <w:szCs w:val="28"/>
        </w:rPr>
      </w:pPr>
    </w:p>
    <w:p w:rsidR="001C41B4" w:rsidRPr="002C62F9" w:rsidRDefault="001C41B4" w:rsidP="001C41B4">
      <w:pPr>
        <w:rPr>
          <w:b/>
          <w:bCs/>
          <w:sz w:val="28"/>
          <w:szCs w:val="28"/>
        </w:rPr>
      </w:pPr>
    </w:p>
    <w:p w:rsidR="001C41B4" w:rsidRPr="002C62F9" w:rsidRDefault="001C41B4" w:rsidP="001C41B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C62F9">
        <w:rPr>
          <w:b w:val="0"/>
          <w:sz w:val="28"/>
          <w:szCs w:val="28"/>
        </w:rPr>
        <w:t xml:space="preserve">Про здійснення </w:t>
      </w:r>
      <w:r>
        <w:rPr>
          <w:b w:val="0"/>
          <w:sz w:val="28"/>
          <w:szCs w:val="28"/>
        </w:rPr>
        <w:t xml:space="preserve">місцевого </w:t>
      </w:r>
      <w:r w:rsidRPr="002C62F9">
        <w:rPr>
          <w:b w:val="0"/>
          <w:sz w:val="28"/>
          <w:szCs w:val="28"/>
        </w:rPr>
        <w:t>запозичення до</w:t>
      </w:r>
    </w:p>
    <w:p w:rsidR="001C41B4" w:rsidRDefault="001C41B4" w:rsidP="001C41B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C62F9">
        <w:rPr>
          <w:b w:val="0"/>
          <w:sz w:val="28"/>
          <w:szCs w:val="28"/>
        </w:rPr>
        <w:t>бюджету міста Києва шляхом</w:t>
      </w:r>
      <w:r>
        <w:rPr>
          <w:b w:val="0"/>
          <w:sz w:val="28"/>
          <w:szCs w:val="28"/>
        </w:rPr>
        <w:t xml:space="preserve"> залучення</w:t>
      </w:r>
    </w:p>
    <w:p w:rsidR="001C41B4" w:rsidRDefault="001C41B4" w:rsidP="001C41B4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2C62F9">
        <w:rPr>
          <w:b w:val="0"/>
          <w:sz w:val="28"/>
          <w:szCs w:val="28"/>
        </w:rPr>
        <w:t>кредиту Європейського</w:t>
      </w:r>
      <w:r>
        <w:rPr>
          <w:b w:val="0"/>
          <w:sz w:val="28"/>
          <w:szCs w:val="28"/>
        </w:rPr>
        <w:t xml:space="preserve"> </w:t>
      </w:r>
      <w:r w:rsidRPr="002C62F9">
        <w:rPr>
          <w:b w:val="0"/>
          <w:sz w:val="28"/>
          <w:szCs w:val="28"/>
        </w:rPr>
        <w:t xml:space="preserve">банку </w:t>
      </w:r>
      <w:r>
        <w:rPr>
          <w:b w:val="0"/>
          <w:sz w:val="28"/>
          <w:szCs w:val="28"/>
        </w:rPr>
        <w:t>реконструкції</w:t>
      </w:r>
    </w:p>
    <w:p w:rsidR="001C41B4" w:rsidRPr="002C62F9" w:rsidRDefault="001C41B4" w:rsidP="001C41B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C62F9">
        <w:rPr>
          <w:b w:val="0"/>
          <w:sz w:val="28"/>
          <w:szCs w:val="28"/>
        </w:rPr>
        <w:t>та розвитку у 2024 році</w:t>
      </w:r>
    </w:p>
    <w:p w:rsidR="001C41B4" w:rsidRDefault="001C41B4" w:rsidP="001C41B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1C41B4" w:rsidRPr="002C62F9" w:rsidRDefault="001C41B4" w:rsidP="001C41B4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1C41B4" w:rsidRPr="002C62F9" w:rsidRDefault="001C41B4" w:rsidP="001C41B4">
      <w:pPr>
        <w:pStyle w:val="2"/>
        <w:ind w:firstLine="567"/>
        <w:jc w:val="both"/>
        <w:rPr>
          <w:b w:val="0"/>
          <w:bCs w:val="0"/>
          <w:sz w:val="28"/>
          <w:szCs w:val="28"/>
        </w:rPr>
      </w:pPr>
      <w:r w:rsidRPr="002C62F9">
        <w:rPr>
          <w:b w:val="0"/>
          <w:sz w:val="28"/>
          <w:szCs w:val="28"/>
        </w:rPr>
        <w:t xml:space="preserve">Відповідно до статей 16, 18, 71, 74 Бюджетного кодексу України, пункту 26 частини першої статті 26, статті 59, частини першої статті 70 Закону України «Про місцеве самоврядування в Україні», постанови Кабінету Міністрів України від 16 лютого 2011 року № 110 «Про затвердження Порядку здійснення місцевих запозичень», </w:t>
      </w:r>
      <w:r>
        <w:rPr>
          <w:b w:val="0"/>
          <w:sz w:val="28"/>
          <w:szCs w:val="28"/>
        </w:rPr>
        <w:t xml:space="preserve">наказу Міністерства фінансів України від     №     «Про погодження обсягу та умов здійснення місцевого запозичення Київською міською радою у 2024 році», </w:t>
      </w:r>
      <w:r w:rsidRPr="002C62F9">
        <w:rPr>
          <w:b w:val="0"/>
          <w:sz w:val="28"/>
          <w:szCs w:val="28"/>
        </w:rPr>
        <w:t>рішень Київської міської ради від 02 березня 2023 року № 6031/6072 «Про затвердження Положення про Департамент фінансів виконавчого органу Київської міської ради (Київської міської державної адміністрації)»,</w:t>
      </w:r>
      <w:r w:rsidR="001F6271" w:rsidRPr="001F6271">
        <w:rPr>
          <w:b w:val="0"/>
          <w:sz w:val="28"/>
          <w:szCs w:val="28"/>
        </w:rPr>
        <w:t xml:space="preserve"> </w:t>
      </w:r>
      <w:r w:rsidR="001F6271" w:rsidRPr="002C62F9">
        <w:rPr>
          <w:b w:val="0"/>
          <w:sz w:val="28"/>
          <w:szCs w:val="28"/>
        </w:rPr>
        <w:t>від 14 грудня 2023 року № 7531/7572 «Про бюджет міста Києва на 2024 рік»</w:t>
      </w:r>
      <w:r w:rsidR="001F6271">
        <w:rPr>
          <w:b w:val="0"/>
          <w:sz w:val="28"/>
          <w:szCs w:val="28"/>
        </w:rPr>
        <w:t xml:space="preserve"> та</w:t>
      </w:r>
      <w:r w:rsidRPr="002C62F9">
        <w:rPr>
          <w:b w:val="0"/>
          <w:sz w:val="28"/>
          <w:szCs w:val="28"/>
        </w:rPr>
        <w:t xml:space="preserve"> </w:t>
      </w:r>
      <w:r w:rsidR="001F6271" w:rsidRPr="002C62F9">
        <w:rPr>
          <w:b w:val="0"/>
          <w:sz w:val="28"/>
          <w:szCs w:val="28"/>
        </w:rPr>
        <w:t>від 13 червня 2024 року № 917/8883 «Про затвердження Угоди про підготовку кредитного фінансування»</w:t>
      </w:r>
      <w:r w:rsidRPr="002C62F9">
        <w:rPr>
          <w:rFonts w:eastAsiaTheme="minorHAnsi"/>
          <w:b w:val="0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Pr="002C62F9">
        <w:rPr>
          <w:b w:val="0"/>
          <w:sz w:val="28"/>
          <w:szCs w:val="28"/>
        </w:rPr>
        <w:t xml:space="preserve">Київська міська рада </w:t>
      </w:r>
    </w:p>
    <w:p w:rsidR="001C41B4" w:rsidRPr="002C62F9" w:rsidRDefault="001C41B4" w:rsidP="001C41B4"/>
    <w:p w:rsidR="001C41B4" w:rsidRPr="002C62F9" w:rsidRDefault="001C41B4" w:rsidP="001C41B4">
      <w:pPr>
        <w:pStyle w:val="1"/>
        <w:shd w:val="clear" w:color="auto" w:fill="auto"/>
        <w:spacing w:after="0" w:line="240" w:lineRule="auto"/>
        <w:ind w:firstLine="567"/>
        <w:jc w:val="both"/>
        <w:rPr>
          <w:b/>
          <w:bCs/>
          <w:caps/>
          <w:sz w:val="28"/>
          <w:szCs w:val="28"/>
        </w:rPr>
      </w:pPr>
      <w:r w:rsidRPr="002C62F9">
        <w:rPr>
          <w:b/>
          <w:bCs/>
          <w:caps/>
          <w:sz w:val="28"/>
          <w:szCs w:val="28"/>
        </w:rPr>
        <w:t xml:space="preserve">вирішила: 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Default="001C41B4" w:rsidP="001C41B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2C62F9">
        <w:rPr>
          <w:rFonts w:eastAsia="Times New Roman"/>
          <w:color w:val="000000"/>
          <w:sz w:val="28"/>
          <w:szCs w:val="28"/>
          <w:lang w:val="uk-UA"/>
        </w:rPr>
        <w:t xml:space="preserve">1. Здійснити у 2024 році місцеве запозичення з метою фінансування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дефіциту </w:t>
      </w:r>
      <w:r w:rsidRPr="002C62F9">
        <w:rPr>
          <w:rFonts w:eastAsia="Times New Roman"/>
          <w:color w:val="000000"/>
          <w:sz w:val="28"/>
          <w:szCs w:val="28"/>
          <w:lang w:val="uk-UA"/>
        </w:rPr>
        <w:t xml:space="preserve">бюджету розвитку бюджету міста Києва </w:t>
      </w:r>
      <w:r w:rsidRPr="002C62F9">
        <w:rPr>
          <w:sz w:val="28"/>
          <w:szCs w:val="28"/>
          <w:lang w:val="uk-UA"/>
        </w:rPr>
        <w:t xml:space="preserve">для фінансування видатків, спрямованих на створення, приріст чи оновлення стратегічних об’єктів довготривалого користування або об’єктів, що забезпечують виконання завдань міської ради, спрямованих на задоволення інтересів територіальної громади міста Києва, а саме для підтримання фінансової стійкості та для забезпечення готовності до швидкого реагування на будь-які загрози або збої в роботі енергопостачання шляхом поповнення </w:t>
      </w:r>
      <w:r>
        <w:rPr>
          <w:sz w:val="28"/>
          <w:szCs w:val="28"/>
          <w:lang w:val="uk-UA"/>
        </w:rPr>
        <w:t>статутного капіталу</w:t>
      </w:r>
      <w:r w:rsidRPr="002C62F9">
        <w:rPr>
          <w:sz w:val="28"/>
          <w:szCs w:val="28"/>
          <w:lang w:val="uk-UA"/>
        </w:rPr>
        <w:t xml:space="preserve"> КОМУНАЛЬНОГО ПІДПРИЄМСТВА ВИКОНАВЧОГО ОРГАНУ КИЇВРАДИ (КИЇВСЬКОЇ МІСЬКОЇ ДЕРЖАВНОЇ АДМІНІСТРАЦІЇ) «КИЇВТЕПЛОЕНЕРГО»</w:t>
      </w:r>
      <w:r>
        <w:rPr>
          <w:sz w:val="28"/>
          <w:szCs w:val="28"/>
          <w:lang w:val="uk-UA"/>
        </w:rPr>
        <w:t xml:space="preserve"> </w:t>
      </w:r>
      <w:r w:rsidR="00247EAC">
        <w:rPr>
          <w:sz w:val="28"/>
          <w:szCs w:val="28"/>
          <w:lang w:val="uk-UA"/>
        </w:rPr>
        <w:t xml:space="preserve">(код за </w:t>
      </w:r>
      <w:r w:rsidR="00247EAC">
        <w:rPr>
          <w:sz w:val="28"/>
          <w:szCs w:val="28"/>
          <w:lang w:val="uk-UA"/>
        </w:rPr>
        <w:lastRenderedPageBreak/>
        <w:t xml:space="preserve">ЄДРПОУ </w:t>
      </w:r>
      <w:r w:rsidR="00247EAC" w:rsidRPr="00247EAC">
        <w:rPr>
          <w:sz w:val="28"/>
          <w:szCs w:val="28"/>
          <w:lang w:val="uk-UA"/>
        </w:rPr>
        <w:t>40538421</w:t>
      </w:r>
      <w:r w:rsidR="00247EA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у межах реалізації </w:t>
      </w:r>
      <w:r w:rsidRPr="00A11C19">
        <w:rPr>
          <w:sz w:val="28"/>
          <w:szCs w:val="28"/>
          <w:lang w:val="uk-UA"/>
        </w:rPr>
        <w:t>проєкту екстреної підтримки ліквідності існуючих клієнтів</w:t>
      </w:r>
      <w:r w:rsidR="005F3DA6">
        <w:rPr>
          <w:sz w:val="28"/>
          <w:szCs w:val="28"/>
          <w:lang w:val="uk-UA"/>
        </w:rPr>
        <w:t>,</w:t>
      </w:r>
      <w:r w:rsidR="005F3DA6" w:rsidRPr="00A11C19">
        <w:rPr>
          <w:sz w:val="28"/>
          <w:szCs w:val="28"/>
          <w:lang w:val="uk-UA"/>
        </w:rPr>
        <w:t xml:space="preserve"> комунальних підприємств м</w:t>
      </w:r>
      <w:r w:rsidR="005F3DA6">
        <w:rPr>
          <w:sz w:val="28"/>
          <w:szCs w:val="28"/>
          <w:lang w:val="uk-UA"/>
        </w:rPr>
        <w:t>іста</w:t>
      </w:r>
      <w:r w:rsidR="005F3DA6" w:rsidRPr="00A11C19">
        <w:rPr>
          <w:sz w:val="28"/>
          <w:szCs w:val="28"/>
          <w:lang w:val="uk-UA"/>
        </w:rPr>
        <w:t xml:space="preserve"> </w:t>
      </w:r>
      <w:r w:rsidR="005F3DA6">
        <w:rPr>
          <w:sz w:val="28"/>
          <w:szCs w:val="28"/>
          <w:lang w:val="uk-UA"/>
        </w:rPr>
        <w:t xml:space="preserve">Києва, </w:t>
      </w:r>
      <w:r w:rsidRPr="00A11C19">
        <w:rPr>
          <w:sz w:val="28"/>
          <w:szCs w:val="28"/>
          <w:lang w:val="uk-UA"/>
        </w:rPr>
        <w:t>Європейського банку реконструкції та розвитку</w:t>
      </w:r>
      <w:r>
        <w:rPr>
          <w:sz w:val="28"/>
          <w:szCs w:val="28"/>
          <w:lang w:val="uk-UA"/>
        </w:rPr>
        <w:t xml:space="preserve"> </w:t>
      </w:r>
      <w:r w:rsidR="005F3DA6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«</w:t>
      </w:r>
      <w:r w:rsidRPr="001C7A24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1C7A24">
        <w:rPr>
          <w:sz w:val="28"/>
          <w:szCs w:val="28"/>
          <w:lang w:val="uk-UA"/>
        </w:rPr>
        <w:t xml:space="preserve"> забезпечення стійкості</w:t>
      </w:r>
      <w:r w:rsidR="001F6271">
        <w:rPr>
          <w:sz w:val="28"/>
          <w:szCs w:val="28"/>
          <w:lang w:val="uk-UA"/>
        </w:rPr>
        <w:t xml:space="preserve">» (далі – </w:t>
      </w:r>
      <w:r>
        <w:rPr>
          <w:sz w:val="28"/>
          <w:szCs w:val="28"/>
          <w:lang w:val="uk-UA"/>
        </w:rPr>
        <w:t>Проєкт).</w:t>
      </w:r>
    </w:p>
    <w:p w:rsidR="001C41B4" w:rsidRDefault="001C41B4" w:rsidP="001C41B4">
      <w:pPr>
        <w:pStyle w:val="a4"/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</w:p>
    <w:p w:rsidR="001C41B4" w:rsidRPr="002C62F9" w:rsidRDefault="001C41B4" w:rsidP="001C41B4">
      <w:pPr>
        <w:pStyle w:val="a4"/>
        <w:tabs>
          <w:tab w:val="left" w:pos="851"/>
        </w:tabs>
        <w:ind w:left="0" w:firstLine="709"/>
        <w:jc w:val="both"/>
        <w:rPr>
          <w:lang w:val="uk-UA"/>
        </w:rPr>
      </w:pPr>
      <w:r w:rsidRPr="002C62F9">
        <w:rPr>
          <w:sz w:val="28"/>
          <w:szCs w:val="28"/>
          <w:lang w:val="uk-UA"/>
        </w:rPr>
        <w:t>2. Залучені кошти спрямувати на підтримку фінансової стійкості КОМУНАЛЬНОГО ПІДПРИЄМСТВА ВИКОНАВЧОГО ОРГАНУ КИЇВРАДИ (КИЇВСЬКОЇ МІСЬКОЇ ДЕРЖАВНОЇ АДМІНІСТРАЦІЇ) «КИЇВТЕПЛОЕНЕРГО»</w:t>
      </w:r>
      <w:r>
        <w:rPr>
          <w:sz w:val="28"/>
          <w:szCs w:val="28"/>
          <w:lang w:val="uk-UA"/>
        </w:rPr>
        <w:t>.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C62F9">
        <w:rPr>
          <w:rFonts w:eastAsia="Times New Roman"/>
          <w:color w:val="000000"/>
          <w:sz w:val="28"/>
          <w:szCs w:val="28"/>
          <w:lang w:val="uk-UA"/>
        </w:rPr>
        <w:t xml:space="preserve">3. </w:t>
      </w:r>
      <w:r w:rsidRPr="002C62F9">
        <w:rPr>
          <w:sz w:val="28"/>
          <w:szCs w:val="28"/>
          <w:lang w:val="uk-UA"/>
        </w:rPr>
        <w:t>Форма здійснення місцевого запозичення – укладання кредитного договору.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2C62F9" w:rsidRDefault="001C41B4" w:rsidP="001C41B4">
      <w:pPr>
        <w:pStyle w:val="a4"/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C62F9">
        <w:rPr>
          <w:rFonts w:eastAsia="Times New Roman"/>
          <w:color w:val="000000"/>
          <w:sz w:val="28"/>
          <w:szCs w:val="28"/>
          <w:lang w:val="uk-UA"/>
        </w:rPr>
        <w:t xml:space="preserve">4. </w:t>
      </w:r>
      <w:r w:rsidRPr="002C62F9">
        <w:rPr>
          <w:sz w:val="28"/>
          <w:szCs w:val="28"/>
          <w:lang w:val="uk-UA"/>
        </w:rPr>
        <w:t>Встановити, що місцеве зовнішнє запозичення здійснюється шляхом залучення коштів у Європейського банку реконструкції та розвитку</w:t>
      </w:r>
      <w:r>
        <w:rPr>
          <w:sz w:val="28"/>
          <w:szCs w:val="28"/>
          <w:lang w:val="uk-UA"/>
        </w:rPr>
        <w:t xml:space="preserve"> (далі </w:t>
      </w:r>
      <w:r w:rsidR="001F62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ЄБРР)</w:t>
      </w:r>
      <w:r w:rsidRPr="002C62F9">
        <w:rPr>
          <w:sz w:val="28"/>
          <w:szCs w:val="28"/>
          <w:lang w:val="uk-UA"/>
        </w:rPr>
        <w:t xml:space="preserve"> </w:t>
      </w:r>
      <w:r w:rsidRPr="002C62F9">
        <w:rPr>
          <w:sz w:val="28"/>
          <w:szCs w:val="28"/>
          <w:shd w:val="clear" w:color="auto" w:fill="FFFFFF"/>
          <w:lang w:val="uk-UA"/>
        </w:rPr>
        <w:t xml:space="preserve">відповідно до Бюджетного кодексу України та постанови Кабінету Міністрів України </w:t>
      </w:r>
      <w:r w:rsidRPr="002C62F9">
        <w:rPr>
          <w:sz w:val="28"/>
          <w:szCs w:val="28"/>
          <w:lang w:val="uk-UA"/>
        </w:rPr>
        <w:t>від 16 лютого 2011 року № 110 «Про затвердження Порядку здійснення місцевих запозичень»</w:t>
      </w:r>
      <w:r>
        <w:rPr>
          <w:sz w:val="28"/>
          <w:szCs w:val="28"/>
          <w:lang w:val="uk-UA"/>
        </w:rPr>
        <w:t xml:space="preserve"> </w:t>
      </w:r>
      <w:r w:rsidR="005F3DA6">
        <w:rPr>
          <w:sz w:val="28"/>
          <w:szCs w:val="28"/>
          <w:lang w:val="uk-UA"/>
        </w:rPr>
        <w:t xml:space="preserve">з дотриманням </w:t>
      </w:r>
      <w:r w:rsidRPr="002C62F9">
        <w:rPr>
          <w:sz w:val="28"/>
          <w:szCs w:val="28"/>
          <w:lang w:val="uk-UA"/>
        </w:rPr>
        <w:t xml:space="preserve">таких </w:t>
      </w:r>
      <w:r w:rsidR="005F3DA6">
        <w:rPr>
          <w:sz w:val="28"/>
          <w:szCs w:val="28"/>
          <w:lang w:val="uk-UA"/>
        </w:rPr>
        <w:t xml:space="preserve">істотних </w:t>
      </w:r>
      <w:r w:rsidRPr="002C62F9">
        <w:rPr>
          <w:sz w:val="28"/>
          <w:szCs w:val="28"/>
          <w:lang w:val="uk-UA"/>
        </w:rPr>
        <w:t>умов: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C62F9">
        <w:rPr>
          <w:sz w:val="28"/>
          <w:szCs w:val="28"/>
          <w:lang w:val="uk-UA"/>
        </w:rPr>
        <w:t xml:space="preserve">обсяг кредиту (основна сума боргу) та валюта – до 50 </w:t>
      </w:r>
      <w:r>
        <w:rPr>
          <w:sz w:val="28"/>
          <w:szCs w:val="28"/>
          <w:lang w:val="uk-UA"/>
        </w:rPr>
        <w:t>000 000</w:t>
      </w:r>
      <w:r w:rsidRPr="002C62F9">
        <w:rPr>
          <w:sz w:val="28"/>
          <w:szCs w:val="28"/>
          <w:lang w:val="uk-UA"/>
        </w:rPr>
        <w:t xml:space="preserve"> євро (п’ятдесят мільйонів євро);</w:t>
      </w:r>
    </w:p>
    <w:p w:rsidR="001C41B4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C62F9">
        <w:rPr>
          <w:rFonts w:eastAsia="Times New Roman"/>
          <w:color w:val="000000"/>
          <w:sz w:val="28"/>
          <w:szCs w:val="28"/>
          <w:lang w:val="uk-UA"/>
        </w:rPr>
        <w:t>строк кредиту – до 5 років включно;</w:t>
      </w:r>
    </w:p>
    <w:p w:rsidR="00335D34" w:rsidRPr="002C62F9" w:rsidRDefault="00335D34" w:rsidP="00335D3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5D3141">
        <w:rPr>
          <w:rFonts w:eastAsia="Times New Roman"/>
          <w:color w:val="000000"/>
          <w:sz w:val="28"/>
          <w:szCs w:val="28"/>
          <w:lang w:val="uk-UA"/>
        </w:rPr>
        <w:t>майнове або інше забезпечення виконання зобов’язань за запозиченням не надається</w:t>
      </w:r>
      <w:r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1C41B4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2C62F9">
        <w:rPr>
          <w:rFonts w:eastAsia="Times New Roman"/>
          <w:color w:val="000000"/>
          <w:sz w:val="28"/>
          <w:szCs w:val="28"/>
          <w:lang w:val="uk-UA"/>
        </w:rPr>
        <w:t xml:space="preserve">погашення кредиту здійснюється </w:t>
      </w:r>
      <w:r w:rsidRPr="002C62F9">
        <w:rPr>
          <w:sz w:val="28"/>
          <w:szCs w:val="28"/>
          <w:lang w:val="uk-UA"/>
        </w:rPr>
        <w:t xml:space="preserve">за рахунок коштів бюджету міста </w:t>
      </w:r>
      <w:r w:rsidRPr="00547E8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-ма</w:t>
      </w:r>
      <w:r w:rsidRPr="00547E80">
        <w:rPr>
          <w:sz w:val="28"/>
          <w:szCs w:val="28"/>
          <w:lang w:val="uk-UA"/>
        </w:rPr>
        <w:t xml:space="preserve"> рівними </w:t>
      </w:r>
      <w:r>
        <w:rPr>
          <w:sz w:val="28"/>
          <w:szCs w:val="28"/>
          <w:lang w:val="uk-UA"/>
        </w:rPr>
        <w:t xml:space="preserve">частинами </w:t>
      </w:r>
      <w:r w:rsidRPr="00547E80"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серпня</w:t>
      </w:r>
      <w:r w:rsidRPr="00547E80">
        <w:rPr>
          <w:sz w:val="28"/>
          <w:szCs w:val="28"/>
          <w:lang w:val="uk-UA"/>
        </w:rPr>
        <w:t xml:space="preserve"> та 15 </w:t>
      </w:r>
      <w:r>
        <w:rPr>
          <w:sz w:val="28"/>
          <w:szCs w:val="28"/>
          <w:lang w:val="uk-UA"/>
        </w:rPr>
        <w:t>лютого</w:t>
      </w:r>
      <w:r w:rsidRPr="00547E80">
        <w:rPr>
          <w:sz w:val="28"/>
          <w:szCs w:val="28"/>
          <w:lang w:val="uk-UA"/>
        </w:rPr>
        <w:t xml:space="preserve"> кожного року, починаючи з </w:t>
      </w:r>
      <w:r>
        <w:rPr>
          <w:sz w:val="28"/>
          <w:szCs w:val="28"/>
          <w:lang w:val="uk-UA"/>
        </w:rPr>
        <w:t>вересня</w:t>
      </w:r>
      <w:r w:rsidRPr="00547E80">
        <w:rPr>
          <w:sz w:val="28"/>
          <w:szCs w:val="28"/>
          <w:lang w:val="uk-UA"/>
        </w:rPr>
        <w:t xml:space="preserve"> 2026 року</w:t>
      </w:r>
      <w:r w:rsidRPr="002C62F9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504793" w:rsidRPr="00504793" w:rsidRDefault="00504793" w:rsidP="00504793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504793">
        <w:rPr>
          <w:color w:val="000000"/>
          <w:sz w:val="28"/>
          <w:szCs w:val="28"/>
          <w:lang w:eastAsia="ru-RU"/>
        </w:rPr>
        <w:t>відсоткова ставка за користування кредитом встановлюється у розмірі шестимісячної Європейської міжбанківської ставки пропозиції (EURIBOR 6M) і збільшується на розмір маржі 2,50 % річних та нараховується на непогашений обсяг кредиту та фактичну кількість днів, що минули, з розрахунку, що рік становить 360 днів;</w:t>
      </w:r>
    </w:p>
    <w:p w:rsidR="00504793" w:rsidRDefault="00504793" w:rsidP="00504793">
      <w:pPr>
        <w:shd w:val="clear" w:color="auto" w:fill="FFFFFF"/>
        <w:ind w:firstLine="567"/>
        <w:contextualSpacing/>
        <w:jc w:val="both"/>
        <w:rPr>
          <w:sz w:val="28"/>
          <w:szCs w:val="28"/>
          <w:lang w:eastAsia="ru-RU"/>
        </w:rPr>
      </w:pPr>
      <w:r w:rsidRPr="004D0F00">
        <w:rPr>
          <w:sz w:val="28"/>
          <w:szCs w:val="28"/>
          <w:lang w:eastAsia="ru-RU"/>
        </w:rPr>
        <w:t>сплата відсотків за користування кредитом здійснюється 15 серпня та 15 лютого кожного бюджетного періоду;</w:t>
      </w:r>
    </w:p>
    <w:p w:rsidR="001C41B4" w:rsidRPr="00B00755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EE28E2">
        <w:rPr>
          <w:rFonts w:eastAsia="Times New Roman"/>
          <w:color w:val="000000"/>
          <w:sz w:val="28"/>
          <w:szCs w:val="28"/>
          <w:lang w:val="uk-UA"/>
        </w:rPr>
        <w:t xml:space="preserve">у разі несплати у встановлений строк будь-якої суми кредиту сплачуються відсотки на прострочену суму до повної сплати </w:t>
      </w:r>
      <w:r w:rsidRPr="00B00755">
        <w:rPr>
          <w:rFonts w:eastAsia="Times New Roman"/>
          <w:color w:val="000000"/>
          <w:sz w:val="28"/>
          <w:szCs w:val="28"/>
          <w:lang w:val="uk-UA"/>
        </w:rPr>
        <w:t>за ставкою, що дорівнює сумі:</w:t>
      </w:r>
    </w:p>
    <w:p w:rsidR="001C41B4" w:rsidRPr="00B00755" w:rsidRDefault="00335D34" w:rsidP="001C41B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C41B4" w:rsidRPr="00B00755">
        <w:rPr>
          <w:color w:val="000000"/>
          <w:sz w:val="28"/>
          <w:szCs w:val="28"/>
        </w:rPr>
        <w:t>2,0% річних;</w:t>
      </w:r>
    </w:p>
    <w:p w:rsidR="0018673F" w:rsidRDefault="00335D34" w:rsidP="001C41B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8673F">
        <w:rPr>
          <w:color w:val="000000"/>
          <w:sz w:val="28"/>
          <w:szCs w:val="28"/>
        </w:rPr>
        <w:t xml:space="preserve">2,5% річних </w:t>
      </w:r>
      <w:r w:rsidR="001C41B4">
        <w:rPr>
          <w:color w:val="000000"/>
          <w:sz w:val="28"/>
          <w:szCs w:val="28"/>
        </w:rPr>
        <w:t>м</w:t>
      </w:r>
      <w:r w:rsidR="001C41B4" w:rsidRPr="00B00755">
        <w:rPr>
          <w:color w:val="000000"/>
          <w:sz w:val="28"/>
          <w:szCs w:val="28"/>
        </w:rPr>
        <w:t xml:space="preserve">аржі; </w:t>
      </w:r>
    </w:p>
    <w:p w:rsidR="001C41B4" w:rsidRDefault="00335D34" w:rsidP="0018673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EF417F">
        <w:rPr>
          <w:color w:val="000000"/>
          <w:sz w:val="28"/>
          <w:szCs w:val="28"/>
        </w:rPr>
        <w:t>відсоткової</w:t>
      </w:r>
      <w:r w:rsidR="001C41B4" w:rsidRPr="00B00755">
        <w:rPr>
          <w:color w:val="000000"/>
          <w:sz w:val="28"/>
          <w:szCs w:val="28"/>
        </w:rPr>
        <w:t xml:space="preserve"> ставки річних, запропонованої на між</w:t>
      </w:r>
      <w:r w:rsidR="001C41B4">
        <w:rPr>
          <w:color w:val="000000"/>
          <w:sz w:val="28"/>
          <w:szCs w:val="28"/>
        </w:rPr>
        <w:t>банківському ринку Єврозони на д</w:t>
      </w:r>
      <w:r w:rsidR="001C41B4" w:rsidRPr="00B00755">
        <w:rPr>
          <w:color w:val="000000"/>
          <w:sz w:val="28"/>
          <w:szCs w:val="28"/>
        </w:rPr>
        <w:t xml:space="preserve">ату </w:t>
      </w:r>
      <w:r w:rsidR="001C41B4">
        <w:rPr>
          <w:color w:val="000000"/>
          <w:sz w:val="28"/>
          <w:szCs w:val="28"/>
        </w:rPr>
        <w:t>в</w:t>
      </w:r>
      <w:r w:rsidR="001C41B4" w:rsidRPr="00B00755">
        <w:rPr>
          <w:color w:val="000000"/>
          <w:sz w:val="28"/>
          <w:szCs w:val="28"/>
        </w:rPr>
        <w:t xml:space="preserve">изначення </w:t>
      </w:r>
      <w:r w:rsidR="00EF417F">
        <w:rPr>
          <w:color w:val="000000"/>
          <w:sz w:val="28"/>
          <w:szCs w:val="28"/>
        </w:rPr>
        <w:t>відсотків</w:t>
      </w:r>
      <w:r w:rsidR="001C41B4" w:rsidRPr="00B00755">
        <w:rPr>
          <w:color w:val="000000"/>
          <w:sz w:val="28"/>
          <w:szCs w:val="28"/>
        </w:rPr>
        <w:t xml:space="preserve"> у </w:t>
      </w:r>
      <w:r w:rsidR="001C41B4">
        <w:rPr>
          <w:color w:val="000000"/>
          <w:sz w:val="28"/>
          <w:szCs w:val="28"/>
        </w:rPr>
        <w:t>в</w:t>
      </w:r>
      <w:r w:rsidR="001C41B4" w:rsidRPr="00B00755">
        <w:rPr>
          <w:color w:val="000000"/>
          <w:sz w:val="28"/>
          <w:szCs w:val="28"/>
        </w:rPr>
        <w:t xml:space="preserve">ипадку </w:t>
      </w:r>
      <w:r w:rsidR="001C41B4">
        <w:rPr>
          <w:color w:val="000000"/>
          <w:sz w:val="28"/>
          <w:szCs w:val="28"/>
        </w:rPr>
        <w:t>н</w:t>
      </w:r>
      <w:r w:rsidR="001C41B4" w:rsidRPr="00B00755">
        <w:rPr>
          <w:color w:val="000000"/>
          <w:sz w:val="28"/>
          <w:szCs w:val="28"/>
        </w:rPr>
        <w:t xml:space="preserve">евиконання </w:t>
      </w:r>
      <w:r w:rsidR="001C41B4">
        <w:rPr>
          <w:color w:val="000000"/>
          <w:sz w:val="28"/>
          <w:szCs w:val="28"/>
        </w:rPr>
        <w:t>з</w:t>
      </w:r>
      <w:r w:rsidR="001C41B4" w:rsidRPr="00B00755">
        <w:rPr>
          <w:color w:val="000000"/>
          <w:sz w:val="28"/>
          <w:szCs w:val="28"/>
        </w:rPr>
        <w:t xml:space="preserve">обов'язань для депозитів у </w:t>
      </w:r>
      <w:r w:rsidR="001C41B4">
        <w:rPr>
          <w:color w:val="000000"/>
          <w:sz w:val="28"/>
          <w:szCs w:val="28"/>
        </w:rPr>
        <w:t>в</w:t>
      </w:r>
      <w:r w:rsidR="001C41B4" w:rsidRPr="00B00755">
        <w:rPr>
          <w:color w:val="000000"/>
          <w:sz w:val="28"/>
          <w:szCs w:val="28"/>
        </w:rPr>
        <w:t xml:space="preserve">алюті </w:t>
      </w:r>
      <w:r w:rsidR="001C41B4">
        <w:rPr>
          <w:color w:val="000000"/>
          <w:sz w:val="28"/>
          <w:szCs w:val="28"/>
        </w:rPr>
        <w:t>к</w:t>
      </w:r>
      <w:r w:rsidR="001C41B4" w:rsidRPr="00B00755">
        <w:rPr>
          <w:color w:val="000000"/>
          <w:sz w:val="28"/>
          <w:szCs w:val="28"/>
        </w:rPr>
        <w:t xml:space="preserve">редиту для сум, співставних з простроченою сумою, для періоду, рівного відповідному </w:t>
      </w:r>
      <w:r w:rsidR="001C41B4">
        <w:rPr>
          <w:color w:val="000000"/>
          <w:sz w:val="28"/>
          <w:szCs w:val="28"/>
        </w:rPr>
        <w:t>п</w:t>
      </w:r>
      <w:r w:rsidR="001C41B4" w:rsidRPr="00B00755">
        <w:rPr>
          <w:color w:val="000000"/>
          <w:sz w:val="28"/>
          <w:szCs w:val="28"/>
        </w:rPr>
        <w:t xml:space="preserve">еріоду </w:t>
      </w:r>
      <w:r w:rsidR="001C41B4">
        <w:rPr>
          <w:color w:val="000000"/>
          <w:sz w:val="28"/>
          <w:szCs w:val="28"/>
        </w:rPr>
        <w:t>в</w:t>
      </w:r>
      <w:r w:rsidR="001C41B4" w:rsidRPr="00B00755">
        <w:rPr>
          <w:color w:val="000000"/>
          <w:sz w:val="28"/>
          <w:szCs w:val="28"/>
        </w:rPr>
        <w:t xml:space="preserve">изначення </w:t>
      </w:r>
      <w:r w:rsidR="00EF417F">
        <w:rPr>
          <w:color w:val="000000"/>
          <w:sz w:val="28"/>
          <w:szCs w:val="28"/>
        </w:rPr>
        <w:t>відсотків</w:t>
      </w:r>
      <w:r w:rsidR="001C41B4" w:rsidRPr="00B00755">
        <w:rPr>
          <w:color w:val="000000"/>
          <w:sz w:val="28"/>
          <w:szCs w:val="28"/>
        </w:rPr>
        <w:t xml:space="preserve">, або, у разі настання </w:t>
      </w:r>
      <w:r w:rsidR="001C41B4">
        <w:rPr>
          <w:color w:val="000000"/>
          <w:sz w:val="28"/>
          <w:szCs w:val="28"/>
        </w:rPr>
        <w:t>п</w:t>
      </w:r>
      <w:r w:rsidR="001C41B4" w:rsidRPr="00B00755">
        <w:rPr>
          <w:color w:val="000000"/>
          <w:sz w:val="28"/>
          <w:szCs w:val="28"/>
        </w:rPr>
        <w:t xml:space="preserve">одії </w:t>
      </w:r>
      <w:r w:rsidR="001C41B4">
        <w:rPr>
          <w:color w:val="000000"/>
          <w:sz w:val="28"/>
          <w:szCs w:val="28"/>
        </w:rPr>
        <w:t>п</w:t>
      </w:r>
      <w:r w:rsidR="001C41B4" w:rsidRPr="00B00755">
        <w:rPr>
          <w:color w:val="000000"/>
          <w:sz w:val="28"/>
          <w:szCs w:val="28"/>
        </w:rPr>
        <w:t xml:space="preserve">огіршення </w:t>
      </w:r>
      <w:r w:rsidR="001C41B4">
        <w:rPr>
          <w:color w:val="000000"/>
          <w:sz w:val="28"/>
          <w:szCs w:val="28"/>
        </w:rPr>
        <w:t>р</w:t>
      </w:r>
      <w:r w:rsidR="001C41B4" w:rsidRPr="00B00755">
        <w:rPr>
          <w:color w:val="000000"/>
          <w:sz w:val="28"/>
          <w:szCs w:val="28"/>
        </w:rPr>
        <w:t xml:space="preserve">инкової </w:t>
      </w:r>
      <w:r w:rsidR="001C41B4">
        <w:rPr>
          <w:color w:val="000000"/>
          <w:sz w:val="28"/>
          <w:szCs w:val="28"/>
        </w:rPr>
        <w:t>к</w:t>
      </w:r>
      <w:r w:rsidR="001C41B4" w:rsidRPr="00B00755">
        <w:rPr>
          <w:color w:val="000000"/>
          <w:sz w:val="28"/>
          <w:szCs w:val="28"/>
        </w:rPr>
        <w:t xml:space="preserve">он’юнктури, за </w:t>
      </w:r>
      <w:r w:rsidR="00EF417F">
        <w:rPr>
          <w:color w:val="000000"/>
          <w:sz w:val="28"/>
          <w:szCs w:val="28"/>
        </w:rPr>
        <w:t>відстоковою</w:t>
      </w:r>
      <w:r w:rsidR="001C41B4" w:rsidRPr="00B00755">
        <w:rPr>
          <w:color w:val="000000"/>
          <w:sz w:val="28"/>
          <w:szCs w:val="28"/>
        </w:rPr>
        <w:t xml:space="preserve"> ставкою річних вартості фінансування для ЄБРР </w:t>
      </w:r>
      <w:r w:rsidR="001C41B4">
        <w:rPr>
          <w:color w:val="000000"/>
          <w:sz w:val="28"/>
          <w:szCs w:val="28"/>
        </w:rPr>
        <w:t>к</w:t>
      </w:r>
      <w:r w:rsidR="001C41B4" w:rsidRPr="00B00755">
        <w:rPr>
          <w:color w:val="000000"/>
          <w:sz w:val="28"/>
          <w:szCs w:val="28"/>
        </w:rPr>
        <w:t xml:space="preserve">редиту з будь-якого джерела, обґрунтовано обраного ЄБРР (або, на вибір ЄБРР, відповідної </w:t>
      </w:r>
      <w:r w:rsidR="001C41B4">
        <w:rPr>
          <w:color w:val="000000"/>
          <w:sz w:val="28"/>
          <w:szCs w:val="28"/>
        </w:rPr>
        <w:t>м</w:t>
      </w:r>
      <w:r w:rsidR="001C41B4" w:rsidRPr="00B00755">
        <w:rPr>
          <w:color w:val="000000"/>
          <w:sz w:val="28"/>
          <w:szCs w:val="28"/>
        </w:rPr>
        <w:t xml:space="preserve">іжбанківської </w:t>
      </w:r>
      <w:r w:rsidR="001C41B4">
        <w:rPr>
          <w:color w:val="000000"/>
          <w:sz w:val="28"/>
          <w:szCs w:val="28"/>
        </w:rPr>
        <w:t>с</w:t>
      </w:r>
      <w:r w:rsidR="001C41B4" w:rsidRPr="00B00755">
        <w:rPr>
          <w:color w:val="000000"/>
          <w:sz w:val="28"/>
          <w:szCs w:val="28"/>
        </w:rPr>
        <w:t xml:space="preserve">тавки, якщо вона є </w:t>
      </w:r>
      <w:r w:rsidR="001C41B4" w:rsidRPr="00B00755">
        <w:rPr>
          <w:color w:val="000000"/>
          <w:sz w:val="28"/>
          <w:szCs w:val="28"/>
        </w:rPr>
        <w:lastRenderedPageBreak/>
        <w:t>наявною), за умови, що якщо ставка за цим підпунктом становить менше нуля, вважати</w:t>
      </w:r>
      <w:r w:rsidR="001C41B4">
        <w:rPr>
          <w:color w:val="000000"/>
          <w:sz w:val="28"/>
          <w:szCs w:val="28"/>
        </w:rPr>
        <w:t>меться, що ставка дорівнює нулю</w:t>
      </w:r>
      <w:r w:rsidR="001C41B4" w:rsidRPr="002C62F9">
        <w:rPr>
          <w:color w:val="000000"/>
          <w:sz w:val="28"/>
          <w:szCs w:val="28"/>
        </w:rPr>
        <w:t>;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1A339A">
        <w:rPr>
          <w:rFonts w:eastAsia="Times New Roman"/>
          <w:color w:val="000000"/>
          <w:sz w:val="28"/>
          <w:szCs w:val="28"/>
          <w:lang w:val="uk-UA"/>
        </w:rPr>
        <w:t>розмір комісій, адміністративних платежів та інших платежів, які підлягають сплаті</w:t>
      </w:r>
      <w:r>
        <w:rPr>
          <w:rFonts w:eastAsia="Times New Roman"/>
          <w:color w:val="000000"/>
          <w:sz w:val="28"/>
          <w:szCs w:val="28"/>
          <w:lang w:val="uk-UA"/>
        </w:rPr>
        <w:t>:</w:t>
      </w:r>
    </w:p>
    <w:p w:rsidR="001C41B4" w:rsidRDefault="00335D34" w:rsidP="001C41B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C41B4" w:rsidRPr="001A339A">
        <w:rPr>
          <w:color w:val="000000"/>
          <w:sz w:val="28"/>
          <w:szCs w:val="28"/>
        </w:rPr>
        <w:t xml:space="preserve">комісія за резервування коштів у розмірі 0,5 </w:t>
      </w:r>
      <w:r w:rsidR="0018673F">
        <w:rPr>
          <w:color w:val="000000"/>
          <w:sz w:val="28"/>
          <w:szCs w:val="28"/>
        </w:rPr>
        <w:t>%</w:t>
      </w:r>
      <w:r w:rsidR="001C41B4" w:rsidRPr="001A339A">
        <w:rPr>
          <w:color w:val="000000"/>
          <w:sz w:val="28"/>
          <w:szCs w:val="28"/>
        </w:rPr>
        <w:t xml:space="preserve"> річних на невибрану суму кредиту. Комісія за резервування коштів нараховується на щоденній основі з дати, що становить 30 днів з дати </w:t>
      </w:r>
      <w:r w:rsidR="0018673F">
        <w:rPr>
          <w:color w:val="000000"/>
          <w:sz w:val="28"/>
          <w:szCs w:val="28"/>
        </w:rPr>
        <w:t xml:space="preserve">підписання </w:t>
      </w:r>
      <w:r w:rsidR="001C41B4">
        <w:rPr>
          <w:color w:val="000000"/>
          <w:sz w:val="28"/>
          <w:szCs w:val="28"/>
        </w:rPr>
        <w:t>кредитного договору</w:t>
      </w:r>
      <w:r w:rsidR="001C41B4" w:rsidRPr="001A339A">
        <w:rPr>
          <w:color w:val="000000"/>
          <w:sz w:val="28"/>
          <w:szCs w:val="28"/>
        </w:rPr>
        <w:t>. Комісія за резервування коштів сплачуєтьс</w:t>
      </w:r>
      <w:r w:rsidR="001C41B4">
        <w:rPr>
          <w:color w:val="000000"/>
          <w:sz w:val="28"/>
          <w:szCs w:val="28"/>
        </w:rPr>
        <w:t xml:space="preserve">я в кожну дату сплати </w:t>
      </w:r>
      <w:r w:rsidR="00F12C11">
        <w:rPr>
          <w:color w:val="000000"/>
          <w:sz w:val="28"/>
          <w:szCs w:val="28"/>
        </w:rPr>
        <w:t>відсотків</w:t>
      </w:r>
      <w:r w:rsidR="001C41B4">
        <w:rPr>
          <w:color w:val="000000"/>
          <w:sz w:val="28"/>
          <w:szCs w:val="28"/>
        </w:rPr>
        <w:t>;</w:t>
      </w:r>
    </w:p>
    <w:p w:rsidR="001C41B4" w:rsidRDefault="00335D34" w:rsidP="001C41B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C41B4">
        <w:rPr>
          <w:color w:val="000000"/>
          <w:sz w:val="28"/>
          <w:szCs w:val="28"/>
        </w:rPr>
        <w:t>о</w:t>
      </w:r>
      <w:r w:rsidR="001C41B4" w:rsidRPr="001A339A">
        <w:rPr>
          <w:color w:val="000000"/>
          <w:sz w:val="28"/>
          <w:szCs w:val="28"/>
        </w:rPr>
        <w:t>днора</w:t>
      </w:r>
      <w:r w:rsidR="001C41B4">
        <w:rPr>
          <w:color w:val="000000"/>
          <w:sz w:val="28"/>
          <w:szCs w:val="28"/>
        </w:rPr>
        <w:t>зова комісія за надання кредиту у розмірі 250 000 євро (двісті п’ятдесят тисяч є</w:t>
      </w:r>
      <w:r w:rsidR="001C41B4" w:rsidRPr="001A339A">
        <w:rPr>
          <w:color w:val="000000"/>
          <w:sz w:val="28"/>
          <w:szCs w:val="28"/>
        </w:rPr>
        <w:t>вро) сплачується не пізніше, ніж</w:t>
      </w:r>
      <w:r w:rsidR="001C41B4">
        <w:rPr>
          <w:color w:val="000000"/>
          <w:sz w:val="28"/>
          <w:szCs w:val="28"/>
        </w:rPr>
        <w:t xml:space="preserve"> </w:t>
      </w:r>
      <w:r w:rsidR="001C41B4" w:rsidRPr="001A339A">
        <w:rPr>
          <w:color w:val="000000"/>
          <w:sz w:val="28"/>
          <w:szCs w:val="28"/>
        </w:rPr>
        <w:t xml:space="preserve">за п'ять робочих днів до першої </w:t>
      </w:r>
      <w:r w:rsidR="001C41B4">
        <w:rPr>
          <w:color w:val="000000"/>
          <w:sz w:val="28"/>
          <w:szCs w:val="28"/>
        </w:rPr>
        <w:t xml:space="preserve">виплати </w:t>
      </w:r>
      <w:r w:rsidR="001C41B4" w:rsidRPr="001A339A">
        <w:rPr>
          <w:color w:val="000000"/>
          <w:sz w:val="28"/>
          <w:szCs w:val="28"/>
        </w:rPr>
        <w:t xml:space="preserve">кредиту або тридцять </w:t>
      </w:r>
      <w:r w:rsidR="001C41B4">
        <w:rPr>
          <w:color w:val="000000"/>
          <w:sz w:val="28"/>
          <w:szCs w:val="28"/>
        </w:rPr>
        <w:t>р</w:t>
      </w:r>
      <w:r w:rsidR="001C41B4" w:rsidRPr="001A339A">
        <w:rPr>
          <w:color w:val="000000"/>
          <w:sz w:val="28"/>
          <w:szCs w:val="28"/>
        </w:rPr>
        <w:t xml:space="preserve">обочих </w:t>
      </w:r>
      <w:r w:rsidR="001C41B4">
        <w:rPr>
          <w:color w:val="000000"/>
          <w:sz w:val="28"/>
          <w:szCs w:val="28"/>
        </w:rPr>
        <w:t>д</w:t>
      </w:r>
      <w:r w:rsidR="001C41B4" w:rsidRPr="001A339A">
        <w:rPr>
          <w:color w:val="000000"/>
          <w:sz w:val="28"/>
          <w:szCs w:val="28"/>
        </w:rPr>
        <w:t>нів після дати</w:t>
      </w:r>
      <w:r w:rsidR="001C41B4">
        <w:rPr>
          <w:color w:val="000000"/>
          <w:sz w:val="28"/>
          <w:szCs w:val="28"/>
        </w:rPr>
        <w:t xml:space="preserve"> </w:t>
      </w:r>
      <w:r w:rsidR="001C41B4" w:rsidRPr="001A339A">
        <w:rPr>
          <w:color w:val="000000"/>
          <w:sz w:val="28"/>
          <w:szCs w:val="28"/>
        </w:rPr>
        <w:t>кредитного договору, залежно від того, яка з цих дат настає першою. Комісія включає в</w:t>
      </w:r>
      <w:r w:rsidR="001C41B4">
        <w:rPr>
          <w:color w:val="000000"/>
          <w:sz w:val="28"/>
          <w:szCs w:val="28"/>
        </w:rPr>
        <w:t xml:space="preserve"> </w:t>
      </w:r>
      <w:r w:rsidR="001C41B4" w:rsidRPr="001A339A">
        <w:rPr>
          <w:color w:val="000000"/>
          <w:sz w:val="28"/>
          <w:szCs w:val="28"/>
        </w:rPr>
        <w:t>себе комісію за оцінку проєкту у сумі 30 000 євро (тридцять тисяч євро) згідно з умовами</w:t>
      </w:r>
      <w:r w:rsidR="001C41B4">
        <w:rPr>
          <w:color w:val="000000"/>
          <w:sz w:val="28"/>
          <w:szCs w:val="28"/>
        </w:rPr>
        <w:t xml:space="preserve"> У</w:t>
      </w:r>
      <w:r w:rsidR="001C41B4" w:rsidRPr="001A339A">
        <w:rPr>
          <w:color w:val="000000"/>
          <w:sz w:val="28"/>
          <w:szCs w:val="28"/>
        </w:rPr>
        <w:t>годи про під</w:t>
      </w:r>
      <w:r w:rsidR="001C41B4">
        <w:rPr>
          <w:color w:val="000000"/>
          <w:sz w:val="28"/>
          <w:szCs w:val="28"/>
        </w:rPr>
        <w:t>готовку кредитного фінансування;</w:t>
      </w:r>
    </w:p>
    <w:p w:rsidR="00335D34" w:rsidRDefault="00335D34" w:rsidP="00335D34">
      <w:pPr>
        <w:shd w:val="clear" w:color="auto" w:fill="FFFFFF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Київська </w:t>
      </w:r>
      <w:r w:rsidRPr="004D0F00">
        <w:rPr>
          <w:sz w:val="28"/>
          <w:szCs w:val="28"/>
          <w:lang w:eastAsia="ru-RU"/>
        </w:rPr>
        <w:t>міська рада</w:t>
      </w:r>
      <w:r>
        <w:rPr>
          <w:sz w:val="28"/>
          <w:szCs w:val="28"/>
          <w:lang w:eastAsia="ru-RU"/>
        </w:rPr>
        <w:t xml:space="preserve"> </w:t>
      </w:r>
      <w:r w:rsidRPr="004D0F00">
        <w:rPr>
          <w:sz w:val="28"/>
          <w:szCs w:val="28"/>
          <w:lang w:eastAsia="ru-RU"/>
        </w:rPr>
        <w:t>відшкодовує ЄБРР будь-які збитки, які виникли в результаті отримання платежів або подання позову чи винесення судового рішення</w:t>
      </w:r>
      <w:r>
        <w:rPr>
          <w:sz w:val="28"/>
          <w:szCs w:val="28"/>
          <w:lang w:eastAsia="ru-RU"/>
        </w:rPr>
        <w:t>:</w:t>
      </w:r>
    </w:p>
    <w:p w:rsidR="00335D34" w:rsidRDefault="00335D34" w:rsidP="00335D34">
      <w:pPr>
        <w:shd w:val="clear" w:color="auto" w:fill="FFFFFF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Pr="004D0F00">
        <w:rPr>
          <w:sz w:val="28"/>
          <w:szCs w:val="28"/>
          <w:lang w:eastAsia="ru-RU"/>
        </w:rPr>
        <w:t>сплачує або забезпечує сплату, або відшкодовує ЄБРР на його вимогу всі поточні і майбутні податки, мита, комісії та інші обов’язкові платежі будь-якого характеру разом з нарахованими на них відсотками та пенею, які стягуються в цей момент або в будь-який інший час у майбутньому Україною або Урядом України чи будь-яким міністерством, відомством, адміністративно</w:t>
      </w:r>
      <w:r>
        <w:rPr>
          <w:sz w:val="28"/>
          <w:szCs w:val="28"/>
          <w:lang w:eastAsia="ru-RU"/>
        </w:rPr>
        <w:t>-</w:t>
      </w:r>
      <w:r w:rsidRPr="004D0F00">
        <w:rPr>
          <w:sz w:val="28"/>
          <w:szCs w:val="28"/>
          <w:lang w:eastAsia="ru-RU"/>
        </w:rPr>
        <w:t>територіальною одиницею чи їх податковим або іншим органом чи організацією, членом якої є Україна, або ж у будь-якій юрисдикції, з якої або через яку здійснюються платежі за кредитним договором у зв’язку зі сплатою будь-яких сум, належних ЄБРР за кредитним договором;</w:t>
      </w:r>
    </w:p>
    <w:p w:rsidR="00335D34" w:rsidRDefault="00335D34" w:rsidP="00335D34">
      <w:pPr>
        <w:shd w:val="clear" w:color="auto" w:fill="FFFFFF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4D0F00">
        <w:rPr>
          <w:sz w:val="28"/>
          <w:szCs w:val="28"/>
          <w:lang w:eastAsia="ru-RU"/>
        </w:rPr>
        <w:t xml:space="preserve">на вимогу ЄБРР відшкодовує ЄБРР чисту суму збільшених видатків ЄБРР на надання кредиту та забезпечення виконання зобов’язання щодо його надання, які виникають через зміни у чинному законодавстві або застосовних політиках (незалежно від того, чи мають вони силу закону) чи їх тлумаченні після дати підписання кредитного договору; </w:t>
      </w:r>
    </w:p>
    <w:p w:rsidR="00335D34" w:rsidRDefault="00335D34" w:rsidP="00335D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в) </w:t>
      </w:r>
      <w:r w:rsidRPr="004D0F00">
        <w:rPr>
          <w:sz w:val="28"/>
          <w:szCs w:val="28"/>
          <w:lang w:eastAsia="ru-RU"/>
        </w:rPr>
        <w:t>сплачує усі комісії, витрати та видатки (включаючи комісії та витрати на зовнішніх та юридичних радників), понесені ЄБРР;</w:t>
      </w:r>
    </w:p>
    <w:p w:rsidR="001C41B4" w:rsidRPr="001A339A" w:rsidRDefault="00335D34" w:rsidP="001C41B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1C41B4" w:rsidRPr="00372796">
        <w:rPr>
          <w:color w:val="000000"/>
          <w:sz w:val="28"/>
          <w:szCs w:val="28"/>
        </w:rPr>
        <w:t xml:space="preserve">усі комісії, адміністративні платежі, інші платежі та витрати, понесені </w:t>
      </w:r>
      <w:r w:rsidR="001C41B4">
        <w:rPr>
          <w:color w:val="000000"/>
          <w:sz w:val="28"/>
          <w:szCs w:val="28"/>
        </w:rPr>
        <w:t>Європейським банком реконструкції та розвитку</w:t>
      </w:r>
      <w:r w:rsidR="001C41B4" w:rsidRPr="00372796">
        <w:rPr>
          <w:color w:val="000000"/>
          <w:sz w:val="28"/>
          <w:szCs w:val="28"/>
        </w:rPr>
        <w:t>, що</w:t>
      </w:r>
      <w:r w:rsidR="001C41B4">
        <w:rPr>
          <w:color w:val="000000"/>
          <w:sz w:val="28"/>
          <w:szCs w:val="28"/>
        </w:rPr>
        <w:t xml:space="preserve"> </w:t>
      </w:r>
      <w:r w:rsidR="001C41B4" w:rsidRPr="00372796">
        <w:rPr>
          <w:color w:val="000000"/>
          <w:sz w:val="28"/>
          <w:szCs w:val="28"/>
        </w:rPr>
        <w:t>визначаються та підлягають сплаті відповідно до умов кредитного договору та вимоги</w:t>
      </w:r>
      <w:r w:rsidR="001C41B4">
        <w:rPr>
          <w:color w:val="000000"/>
          <w:sz w:val="28"/>
          <w:szCs w:val="28"/>
        </w:rPr>
        <w:t xml:space="preserve"> </w:t>
      </w:r>
      <w:r w:rsidR="001C41B4" w:rsidRPr="00372796">
        <w:rPr>
          <w:color w:val="000000"/>
          <w:sz w:val="28"/>
          <w:szCs w:val="28"/>
        </w:rPr>
        <w:t>ЄБРР, включаючи, без обмеження, оплату комісій та витрат на зовнішніх юридичних</w:t>
      </w:r>
      <w:r w:rsidR="001C41B4">
        <w:rPr>
          <w:color w:val="000000"/>
          <w:sz w:val="28"/>
          <w:szCs w:val="28"/>
        </w:rPr>
        <w:t xml:space="preserve"> </w:t>
      </w:r>
      <w:r w:rsidR="001C41B4" w:rsidRPr="00372796">
        <w:rPr>
          <w:color w:val="000000"/>
          <w:sz w:val="28"/>
          <w:szCs w:val="28"/>
        </w:rPr>
        <w:t>радників ЄБРР, пос</w:t>
      </w:r>
      <w:r w:rsidR="001C41B4">
        <w:rPr>
          <w:color w:val="000000"/>
          <w:sz w:val="28"/>
          <w:szCs w:val="28"/>
        </w:rPr>
        <w:t>луг процесуального агента;</w:t>
      </w:r>
    </w:p>
    <w:p w:rsidR="001C41B4" w:rsidRDefault="00335D3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д) </w:t>
      </w:r>
      <w:r w:rsidR="001C41B4" w:rsidRPr="002E4210">
        <w:rPr>
          <w:rFonts w:eastAsia="Times New Roman"/>
          <w:color w:val="000000"/>
          <w:sz w:val="28"/>
          <w:szCs w:val="28"/>
          <w:lang w:val="uk-UA"/>
        </w:rPr>
        <w:t>розмір неустойки, штрафів, пені чи інших санкцій за порушення викон</w:t>
      </w:r>
      <w:r w:rsidR="001C41B4">
        <w:rPr>
          <w:rFonts w:eastAsia="Times New Roman"/>
          <w:color w:val="000000"/>
          <w:sz w:val="28"/>
          <w:szCs w:val="28"/>
          <w:lang w:val="uk-UA"/>
        </w:rPr>
        <w:t xml:space="preserve">ання боргових зобов’язань – </w:t>
      </w:r>
      <w:r w:rsidR="001C41B4" w:rsidRPr="002E4210">
        <w:rPr>
          <w:rFonts w:eastAsia="Times New Roman"/>
          <w:color w:val="000000"/>
          <w:sz w:val="28"/>
          <w:szCs w:val="28"/>
          <w:lang w:val="uk-UA"/>
        </w:rPr>
        <w:t>визначається відповідно до умов кредитного</w:t>
      </w:r>
      <w:r w:rsidR="001C41B4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1C41B4" w:rsidRPr="002E4210">
        <w:rPr>
          <w:rFonts w:eastAsia="Times New Roman"/>
          <w:color w:val="000000"/>
          <w:sz w:val="28"/>
          <w:szCs w:val="28"/>
          <w:lang w:val="uk-UA"/>
        </w:rPr>
        <w:t>договору</w:t>
      </w:r>
      <w:r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335D34" w:rsidRPr="002C62F9" w:rsidRDefault="00335D3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79201A" w:rsidRDefault="001C41B4" w:rsidP="001C41B4">
      <w:pPr>
        <w:pStyle w:val="a4"/>
        <w:shd w:val="clear" w:color="auto" w:fill="FFFFFF"/>
        <w:tabs>
          <w:tab w:val="left" w:pos="851"/>
        </w:tabs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79201A">
        <w:rPr>
          <w:rFonts w:eastAsia="Times New Roman"/>
          <w:color w:val="000000"/>
          <w:sz w:val="28"/>
          <w:szCs w:val="28"/>
          <w:lang w:val="uk-UA"/>
        </w:rPr>
        <w:t xml:space="preserve">5. </w:t>
      </w:r>
      <w:r w:rsidRPr="0079201A">
        <w:rPr>
          <w:sz w:val="28"/>
          <w:szCs w:val="28"/>
          <w:lang w:val="uk-UA"/>
        </w:rPr>
        <w:t xml:space="preserve">Доручити </w:t>
      </w:r>
      <w:r w:rsidRPr="0079201A">
        <w:rPr>
          <w:rFonts w:eastAsia="Times New Roman"/>
          <w:color w:val="000000"/>
          <w:sz w:val="28"/>
          <w:szCs w:val="28"/>
          <w:lang w:val="uk-UA"/>
        </w:rPr>
        <w:t xml:space="preserve">директору </w:t>
      </w:r>
      <w:r w:rsidRPr="0079201A">
        <w:rPr>
          <w:sz w:val="28"/>
          <w:szCs w:val="28"/>
          <w:lang w:val="uk-UA"/>
        </w:rPr>
        <w:t>Департаменту фінансів виконавчого органу Київської міської ради (Київської міської державної адміністрації) здійснити місцеве запозичення, підписати необхідні для цього договори</w:t>
      </w:r>
      <w:r>
        <w:rPr>
          <w:sz w:val="28"/>
          <w:szCs w:val="28"/>
          <w:lang w:val="uk-UA"/>
        </w:rPr>
        <w:t xml:space="preserve">, </w:t>
      </w:r>
      <w:r w:rsidRPr="0058519D">
        <w:rPr>
          <w:rFonts w:eastAsia="Times New Roman"/>
          <w:color w:val="000000"/>
          <w:sz w:val="28"/>
          <w:szCs w:val="28"/>
          <w:lang w:val="uk-UA"/>
        </w:rPr>
        <w:t xml:space="preserve">у тому числі </w:t>
      </w:r>
      <w:r w:rsidRPr="0058519D">
        <w:rPr>
          <w:rFonts w:eastAsia="Times New Roman"/>
          <w:color w:val="000000"/>
          <w:sz w:val="28"/>
          <w:szCs w:val="28"/>
          <w:lang w:val="uk-UA"/>
        </w:rPr>
        <w:lastRenderedPageBreak/>
        <w:t>підписати кредитний договір</w:t>
      </w:r>
      <w:r w:rsidRPr="0058519D">
        <w:rPr>
          <w:rFonts w:eastAsia="Times New Roman"/>
          <w:b/>
          <w:color w:val="000000"/>
          <w:sz w:val="28"/>
          <w:szCs w:val="28"/>
          <w:lang w:val="uk-UA"/>
        </w:rPr>
        <w:t xml:space="preserve"> </w:t>
      </w:r>
      <w:r w:rsidRPr="0058519D">
        <w:rPr>
          <w:rFonts w:eastAsia="Times New Roman"/>
          <w:color w:val="000000"/>
          <w:sz w:val="28"/>
          <w:szCs w:val="28"/>
          <w:lang w:val="uk-UA"/>
        </w:rPr>
        <w:t>з Європейським банком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реконструкції та розвитку,</w:t>
      </w:r>
      <w:r w:rsidRPr="0079201A">
        <w:rPr>
          <w:sz w:val="28"/>
          <w:szCs w:val="28"/>
          <w:lang w:val="uk-UA"/>
        </w:rPr>
        <w:t xml:space="preserve"> та інші документи, пов’язані зі здійсненням такого запозичення, на умовах, визначених цим рішенням, та вчинити всі передбачені законодавством відповідні дії.</w:t>
      </w:r>
    </w:p>
    <w:p w:rsidR="001C41B4" w:rsidRPr="002C62F9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AC5B82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6. </w:t>
      </w:r>
      <w:r w:rsidR="00335D34">
        <w:rPr>
          <w:rFonts w:eastAsia="Times New Roman"/>
          <w:color w:val="000000"/>
          <w:sz w:val="28"/>
          <w:szCs w:val="28"/>
          <w:lang w:val="uk-UA"/>
        </w:rPr>
        <w:t>Установити</w:t>
      </w:r>
      <w:r>
        <w:rPr>
          <w:rFonts w:eastAsia="Times New Roman"/>
          <w:color w:val="000000"/>
          <w:sz w:val="28"/>
          <w:szCs w:val="28"/>
          <w:lang w:val="uk-UA"/>
        </w:rPr>
        <w:t>, що погашення кредиту</w:t>
      </w:r>
      <w:r w:rsidRPr="00AC5B82">
        <w:rPr>
          <w:rFonts w:eastAsia="Times New Roman"/>
          <w:color w:val="000000"/>
          <w:sz w:val="28"/>
          <w:szCs w:val="28"/>
          <w:lang w:val="uk-UA"/>
        </w:rPr>
        <w:t xml:space="preserve"> та сплата відсотків за користування кредитом, а також інші витрати, пов’язані з отриманням та погашенням кредиту, здійснюються за рахунок коштів </w:t>
      </w:r>
      <w:r>
        <w:rPr>
          <w:rFonts w:eastAsia="Times New Roman"/>
          <w:color w:val="000000"/>
          <w:sz w:val="28"/>
          <w:szCs w:val="28"/>
          <w:lang w:val="uk-UA"/>
        </w:rPr>
        <w:t>бюджету міста Києва</w:t>
      </w:r>
      <w:r w:rsidRPr="00AC5B82">
        <w:rPr>
          <w:rFonts w:eastAsia="Times New Roman"/>
          <w:color w:val="000000"/>
          <w:sz w:val="28"/>
          <w:szCs w:val="28"/>
          <w:lang w:val="uk-UA"/>
        </w:rPr>
        <w:t>.</w:t>
      </w: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Default="001C41B4" w:rsidP="001C41B4">
      <w:pPr>
        <w:pStyle w:val="a4"/>
        <w:shd w:val="clear" w:color="auto" w:fill="FFFFFF"/>
        <w:ind w:left="0"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7. </w:t>
      </w:r>
      <w:r w:rsidRPr="0079201A">
        <w:rPr>
          <w:sz w:val="28"/>
          <w:szCs w:val="28"/>
          <w:lang w:val="uk-UA"/>
        </w:rPr>
        <w:t>Департаменту фінансів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 xml:space="preserve"> </w:t>
      </w:r>
      <w:r w:rsidRPr="00E1477E">
        <w:rPr>
          <w:rFonts w:eastAsia="Times New Roman"/>
          <w:color w:val="000000"/>
          <w:sz w:val="28"/>
          <w:szCs w:val="28"/>
          <w:lang w:val="uk-UA"/>
        </w:rPr>
        <w:t xml:space="preserve">щороку передбачати в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бюджеті міста Києва </w:t>
      </w:r>
      <w:r w:rsidRPr="00E1477E">
        <w:rPr>
          <w:rFonts w:eastAsia="Times New Roman"/>
          <w:color w:val="000000"/>
          <w:sz w:val="28"/>
          <w:szCs w:val="28"/>
          <w:lang w:val="uk-UA"/>
        </w:rPr>
        <w:t>кошти для здійснення витрат на виконання боргових зобов’язань за кредитом до повного їх виконання.</w:t>
      </w: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8. Погодитись з отриманням інвестиційного гранту зі Спеціального фонду кризового реагування ЄБРР в розмірі до 5 000 000 євро (п’ять мільйонів євро) за рахунок внеску Сполучених Штатів Америки для реалізації Про</w:t>
      </w:r>
      <w:r w:rsidR="00841CD0">
        <w:rPr>
          <w:rFonts w:eastAsia="Times New Roman"/>
          <w:color w:val="000000"/>
          <w:sz w:val="28"/>
          <w:szCs w:val="28"/>
          <w:lang w:val="uk-UA"/>
        </w:rPr>
        <w:t>є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кту та надання підтримки </w:t>
      </w:r>
      <w:r w:rsidRPr="002C62F9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2C62F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2C62F9">
        <w:rPr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>
        <w:rPr>
          <w:sz w:val="28"/>
          <w:szCs w:val="28"/>
          <w:lang w:val="uk-UA"/>
        </w:rPr>
        <w:t xml:space="preserve"> та уповноважити заступника голови Київської міської державної адміністрації Пантелеєва Петра Олександровича підписати договір гранту з Європейським банком реконструкції та розвитку від імені Київської міської ради і </w:t>
      </w:r>
      <w:r w:rsidRPr="00437E77">
        <w:rPr>
          <w:sz w:val="28"/>
          <w:szCs w:val="28"/>
          <w:lang w:val="uk-UA"/>
        </w:rPr>
        <w:t xml:space="preserve">вчиняти всі </w:t>
      </w:r>
      <w:r>
        <w:rPr>
          <w:sz w:val="28"/>
          <w:szCs w:val="28"/>
          <w:lang w:val="uk-UA"/>
        </w:rPr>
        <w:t xml:space="preserve">інші </w:t>
      </w:r>
      <w:r w:rsidRPr="00437E77">
        <w:rPr>
          <w:sz w:val="28"/>
          <w:szCs w:val="28"/>
          <w:lang w:val="uk-UA"/>
        </w:rPr>
        <w:t>необхідні правочини та здійснювати всі передбачені чинним законодавством України дії, пов’язані із залученням гранту, з правом підписувати, подавати та одержувати необхідні для цього заяви, довідки та інші документи, підписувати документи, правочини, а також вчиняти всі інші дії, пов’язані із залученням гранту</w:t>
      </w:r>
      <w:r>
        <w:rPr>
          <w:sz w:val="28"/>
          <w:szCs w:val="28"/>
          <w:lang w:val="uk-UA"/>
        </w:rPr>
        <w:t>.</w:t>
      </w: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FA20BB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9. </w:t>
      </w:r>
      <w:r w:rsidRPr="002C62F9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2C62F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2C62F9">
        <w:rPr>
          <w:sz w:val="28"/>
          <w:szCs w:val="28"/>
          <w:lang w:val="uk-UA"/>
        </w:rPr>
        <w:t xml:space="preserve"> ВИКОНАВЧОГО ОРГАНУ КИЇВРАДИ (КИЇВСЬКОЇ МІСЬКОЇ ДЕРЖАВНОЇ АДМІНІСТРАЦІЇ) «КИЇВТЕПЛОЕНЕРГО»</w:t>
      </w:r>
      <w:r>
        <w:rPr>
          <w:sz w:val="28"/>
          <w:szCs w:val="28"/>
          <w:lang w:val="uk-UA"/>
        </w:rPr>
        <w:t xml:space="preserve"> відкрити в Головному управлінні Державної казначейської служби України в м. Києві рахунок для зарахування та обліку використання кредитних коштів, та надати реквізити такого рахунку </w:t>
      </w:r>
      <w:r w:rsidRPr="0079201A">
        <w:rPr>
          <w:sz w:val="28"/>
          <w:szCs w:val="28"/>
          <w:lang w:val="uk-UA"/>
        </w:rPr>
        <w:t>Департаменту фінансів виконавчого органу Київської міської ради (Київської міської державної адміністрації)</w:t>
      </w:r>
      <w:r>
        <w:rPr>
          <w:sz w:val="28"/>
          <w:szCs w:val="28"/>
          <w:lang w:val="uk-UA"/>
        </w:rPr>
        <w:t>.</w:t>
      </w: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10. </w:t>
      </w:r>
      <w:r w:rsidRPr="00FA20BB">
        <w:rPr>
          <w:rFonts w:eastAsia="Times New Roman"/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</w:t>
      </w:r>
    </w:p>
    <w:p w:rsidR="001C41B4" w:rsidRDefault="001C41B4" w:rsidP="001C41B4">
      <w:pPr>
        <w:pStyle w:val="a4"/>
        <w:shd w:val="clear" w:color="auto" w:fill="FFFFFF"/>
        <w:ind w:left="0" w:firstLine="708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2C62F9" w:rsidRDefault="001C41B4" w:rsidP="001C41B4">
      <w:pPr>
        <w:pStyle w:val="a4"/>
        <w:shd w:val="clear" w:color="auto" w:fill="FFFFFF"/>
        <w:ind w:left="567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1C41B4" w:rsidRPr="002C62F9" w:rsidRDefault="001C41B4" w:rsidP="001C41B4">
      <w:pPr>
        <w:rPr>
          <w:color w:val="000000"/>
          <w:sz w:val="28"/>
          <w:szCs w:val="28"/>
        </w:rPr>
      </w:pPr>
      <w:r w:rsidRPr="002C62F9">
        <w:rPr>
          <w:color w:val="000000"/>
          <w:sz w:val="28"/>
          <w:szCs w:val="28"/>
        </w:rPr>
        <w:t>Київський міський голова                                                              Віталій КЛИЧКО</w:t>
      </w:r>
    </w:p>
    <w:p w:rsidR="001C41B4" w:rsidRDefault="001C41B4" w:rsidP="001C41B4">
      <w:pPr>
        <w:spacing w:after="200" w:line="276" w:lineRule="auto"/>
        <w:rPr>
          <w:sz w:val="28"/>
          <w:szCs w:val="28"/>
        </w:rPr>
      </w:pPr>
    </w:p>
    <w:p w:rsidR="001C41B4" w:rsidRDefault="001C41B4" w:rsidP="001C41B4">
      <w:pPr>
        <w:spacing w:after="200" w:line="276" w:lineRule="auto"/>
        <w:rPr>
          <w:sz w:val="28"/>
          <w:szCs w:val="28"/>
        </w:rPr>
      </w:pPr>
    </w:p>
    <w:p w:rsidR="001C41B4" w:rsidRPr="002C62F9" w:rsidRDefault="001C41B4" w:rsidP="001C41B4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 w:rsidRPr="002C62F9">
        <w:rPr>
          <w:sz w:val="28"/>
          <w:szCs w:val="28"/>
        </w:rPr>
        <w:lastRenderedPageBreak/>
        <w:t>ПОДАННЯ:</w:t>
      </w: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color w:val="000000"/>
          <w:sz w:val="28"/>
          <w:szCs w:val="28"/>
        </w:rPr>
        <w:t>Київський 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C62F9">
        <w:rPr>
          <w:color w:val="000000"/>
          <w:sz w:val="28"/>
          <w:szCs w:val="28"/>
        </w:rPr>
        <w:t>Віталій КЛИЧКО</w:t>
      </w: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Директор Департаменту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фінансів міста Києва</w:t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  <w:t>Володимир РЕПІК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ПОГОДЖЕНО:</w:t>
      </w: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ПОВОРОЗНИК</w:t>
      </w:r>
    </w:p>
    <w:p w:rsidR="001C41B4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Голова постійної комісії Київради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з питань бюджету, соціально-економічного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розвитку та інвестиційної діяльності</w:t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  <w:t>Андрій ВІТРЕНКО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Начальник Управління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2F9">
        <w:rPr>
          <w:sz w:val="28"/>
          <w:szCs w:val="28"/>
        </w:rPr>
        <w:t>правового забезпечення діяльності</w:t>
      </w:r>
    </w:p>
    <w:p w:rsidR="001C41B4" w:rsidRPr="002C62F9" w:rsidRDefault="001C41B4" w:rsidP="001C41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62F9">
        <w:rPr>
          <w:sz w:val="28"/>
          <w:szCs w:val="28"/>
        </w:rPr>
        <w:t>Київської міської ради</w:t>
      </w:r>
      <w:r w:rsidRPr="002C62F9">
        <w:rPr>
          <w:sz w:val="28"/>
          <w:szCs w:val="28"/>
        </w:rPr>
        <w:tab/>
        <w:t xml:space="preserve"> </w:t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</w:r>
      <w:r w:rsidRPr="002C62F9">
        <w:rPr>
          <w:sz w:val="28"/>
          <w:szCs w:val="28"/>
        </w:rPr>
        <w:tab/>
        <w:t>Валентина ПОЛОЖИШНИК</w:t>
      </w:r>
    </w:p>
    <w:p w:rsidR="001C41B4" w:rsidRPr="002C62F9" w:rsidRDefault="001C41B4" w:rsidP="001C41B4"/>
    <w:p w:rsidR="001C41B4" w:rsidRPr="002C62F9" w:rsidRDefault="001C41B4" w:rsidP="001C41B4"/>
    <w:p w:rsidR="001C41B4" w:rsidRPr="002C62F9" w:rsidRDefault="001C41B4" w:rsidP="001C41B4"/>
    <w:p w:rsidR="00BD434C" w:rsidRDefault="00BD434C"/>
    <w:sectPr w:rsidR="00BD434C" w:rsidSect="00574E93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B4" w:rsidRDefault="001C41B4" w:rsidP="001C41B4">
      <w:r>
        <w:separator/>
      </w:r>
    </w:p>
  </w:endnote>
  <w:endnote w:type="continuationSeparator" w:id="0">
    <w:p w:rsidR="001C41B4" w:rsidRDefault="001C41B4" w:rsidP="001C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B4" w:rsidRDefault="001C41B4" w:rsidP="001C41B4">
      <w:r>
        <w:separator/>
      </w:r>
    </w:p>
  </w:footnote>
  <w:footnote w:type="continuationSeparator" w:id="0">
    <w:p w:rsidR="001C41B4" w:rsidRDefault="001C41B4" w:rsidP="001C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B4"/>
    <w:rsid w:val="0018673F"/>
    <w:rsid w:val="001C41B4"/>
    <w:rsid w:val="001F6271"/>
    <w:rsid w:val="00247EAC"/>
    <w:rsid w:val="00335D34"/>
    <w:rsid w:val="00504793"/>
    <w:rsid w:val="005F3DA6"/>
    <w:rsid w:val="007704C4"/>
    <w:rsid w:val="00841CD0"/>
    <w:rsid w:val="00BD434C"/>
    <w:rsid w:val="00EF417F"/>
    <w:rsid w:val="00F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0999-9A6D-45BA-A6FB-410C9711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qFormat/>
    <w:rsid w:val="001C4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rsid w:val="001C41B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41B4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5">
    <w:name w:val="Основной текст_"/>
    <w:basedOn w:val="a0"/>
    <w:link w:val="1"/>
    <w:rsid w:val="001C4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1C41B4"/>
    <w:pPr>
      <w:widowControl w:val="0"/>
      <w:shd w:val="clear" w:color="auto" w:fill="FFFFFF"/>
      <w:spacing w:after="80" w:line="276" w:lineRule="auto"/>
      <w:ind w:firstLine="30"/>
    </w:pPr>
    <w:rPr>
      <w:sz w:val="22"/>
      <w:szCs w:val="22"/>
      <w:lang w:eastAsia="en-US"/>
    </w:rPr>
  </w:style>
  <w:style w:type="character" w:styleId="a6">
    <w:name w:val="footnote reference"/>
    <w:basedOn w:val="a0"/>
    <w:uiPriority w:val="99"/>
    <w:semiHidden/>
    <w:unhideWhenUsed/>
    <w:rsid w:val="001C41B4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C41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41B4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C41B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1C41B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C41B4"/>
    <w:rPr>
      <w:rFonts w:ascii="Segoe UI" w:eastAsia="Times New Roman" w:hAnsi="Segoe UI" w:cs="Segoe UI"/>
      <w:sz w:val="18"/>
      <w:szCs w:val="18"/>
      <w:lang w:eastAsia="uk-UA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C41B4"/>
    <w:rPr>
      <w:b/>
      <w:bCs/>
    </w:rPr>
  </w:style>
  <w:style w:type="character" w:customStyle="1" w:styleId="ad">
    <w:name w:val="Тема примітки Знак"/>
    <w:basedOn w:val="a9"/>
    <w:link w:val="ac"/>
    <w:uiPriority w:val="99"/>
    <w:semiHidden/>
    <w:rsid w:val="001C41B4"/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6226</Words>
  <Characters>3549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Аввакумова</dc:creator>
  <cp:keywords/>
  <dc:description/>
  <cp:lastModifiedBy>Юлія О. Аввакумова</cp:lastModifiedBy>
  <cp:revision>6</cp:revision>
  <cp:lastPrinted>2024-10-09T08:10:00Z</cp:lastPrinted>
  <dcterms:created xsi:type="dcterms:W3CDTF">2024-10-11T08:40:00Z</dcterms:created>
  <dcterms:modified xsi:type="dcterms:W3CDTF">2024-10-25T05:36:00Z</dcterms:modified>
</cp:coreProperties>
</file>